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88" w:rsidRDefault="00671DDA" w:rsidP="0087044E">
      <w:pPr>
        <w:jc w:val="center"/>
        <w:rPr>
          <w:b/>
          <w:sz w:val="28"/>
          <w:szCs w:val="28"/>
        </w:rPr>
      </w:pPr>
      <w:r>
        <w:rPr>
          <w:noProof/>
        </w:rPr>
        <w:drawing>
          <wp:inline distT="0" distB="0" distL="0" distR="0">
            <wp:extent cx="617393" cy="59055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617393" cy="590550"/>
                    </a:xfrm>
                    <a:prstGeom prst="rect">
                      <a:avLst/>
                    </a:prstGeom>
                    <a:noFill/>
                    <a:ln w="9525">
                      <a:noFill/>
                      <a:miter lim="800000"/>
                      <a:headEnd/>
                      <a:tailEnd/>
                    </a:ln>
                  </pic:spPr>
                </pic:pic>
              </a:graphicData>
            </a:graphic>
          </wp:inline>
        </w:drawing>
      </w:r>
    </w:p>
    <w:p w:rsidR="00D47488" w:rsidRPr="001C546F" w:rsidRDefault="0087044E" w:rsidP="00D47488">
      <w:pPr>
        <w:jc w:val="center"/>
        <w:rPr>
          <w:sz w:val="28"/>
          <w:szCs w:val="28"/>
        </w:rPr>
      </w:pPr>
      <w:r w:rsidRPr="001C546F">
        <w:rPr>
          <w:b/>
          <w:sz w:val="28"/>
          <w:szCs w:val="28"/>
        </w:rPr>
        <w:t>Student Learning Outcome</w:t>
      </w:r>
      <w:r w:rsidR="00DF1FA3" w:rsidRPr="001C546F">
        <w:rPr>
          <w:b/>
          <w:sz w:val="28"/>
          <w:szCs w:val="28"/>
        </w:rPr>
        <w:t>s</w:t>
      </w:r>
      <w:r w:rsidRPr="001C546F">
        <w:rPr>
          <w:b/>
          <w:sz w:val="28"/>
          <w:szCs w:val="28"/>
        </w:rPr>
        <w:t xml:space="preserve"> Committee</w:t>
      </w:r>
      <w:r w:rsidRPr="001C546F">
        <w:rPr>
          <w:b/>
          <w:sz w:val="28"/>
          <w:szCs w:val="28"/>
        </w:rPr>
        <w:br/>
      </w:r>
      <w:r w:rsidR="00030270">
        <w:rPr>
          <w:sz w:val="28"/>
          <w:szCs w:val="28"/>
        </w:rPr>
        <w:t>Meeting Summary</w:t>
      </w:r>
      <w:r w:rsidR="00ED26A6">
        <w:rPr>
          <w:sz w:val="28"/>
          <w:szCs w:val="28"/>
        </w:rPr>
        <w:t xml:space="preserve"> Draft</w:t>
      </w:r>
      <w:bookmarkStart w:id="0" w:name="_GoBack"/>
      <w:bookmarkEnd w:id="0"/>
      <w:r w:rsidR="0098720D">
        <w:rPr>
          <w:sz w:val="28"/>
          <w:szCs w:val="28"/>
        </w:rPr>
        <w:br/>
        <w:t>October 25</w:t>
      </w:r>
      <w:r w:rsidR="00402D46" w:rsidRPr="001C546F">
        <w:rPr>
          <w:sz w:val="28"/>
          <w:szCs w:val="28"/>
        </w:rPr>
        <w:t>, 2012</w:t>
      </w:r>
      <w:r w:rsidR="00CB4812">
        <w:rPr>
          <w:sz w:val="28"/>
          <w:szCs w:val="28"/>
        </w:rPr>
        <w:br/>
        <w:t>2:45</w:t>
      </w:r>
      <w:r w:rsidR="00D47488" w:rsidRPr="001C546F">
        <w:rPr>
          <w:sz w:val="28"/>
          <w:szCs w:val="28"/>
        </w:rPr>
        <w:t>– 4:00 p.m</w:t>
      </w:r>
      <w:r w:rsidR="00D95601" w:rsidRPr="001C546F">
        <w:rPr>
          <w:sz w:val="28"/>
          <w:szCs w:val="28"/>
        </w:rPr>
        <w:t xml:space="preserve">. </w:t>
      </w:r>
      <w:r w:rsidR="005D45F2">
        <w:rPr>
          <w:sz w:val="28"/>
          <w:szCs w:val="28"/>
        </w:rPr>
        <w:br/>
        <w:t>Fox Center, room 21</w:t>
      </w:r>
      <w:r w:rsidR="00D47488" w:rsidRPr="001C546F">
        <w:rPr>
          <w:sz w:val="28"/>
          <w:szCs w:val="28"/>
        </w:rPr>
        <w:t>1</w:t>
      </w:r>
      <w:r w:rsidR="005D45F2">
        <w:rPr>
          <w:sz w:val="28"/>
          <w:szCs w:val="28"/>
        </w:rPr>
        <w:t xml:space="preserve"> (conference room)</w:t>
      </w:r>
    </w:p>
    <w:tbl>
      <w:tblPr>
        <w:tblStyle w:val="TableGrid"/>
        <w:tblW w:w="9504" w:type="dxa"/>
        <w:tblLook w:val="04A0"/>
      </w:tblPr>
      <w:tblGrid>
        <w:gridCol w:w="4032"/>
        <w:gridCol w:w="720"/>
        <w:gridCol w:w="4032"/>
        <w:gridCol w:w="720"/>
      </w:tblGrid>
      <w:tr w:rsidR="00030270" w:rsidRPr="00030270" w:rsidTr="00DD7992">
        <w:tc>
          <w:tcPr>
            <w:tcW w:w="4032" w:type="dxa"/>
          </w:tcPr>
          <w:p w:rsidR="00030270" w:rsidRPr="00030270" w:rsidRDefault="00030270" w:rsidP="00DD7992">
            <w:pPr>
              <w:rPr>
                <w:sz w:val="22"/>
                <w:szCs w:val="22"/>
              </w:rPr>
            </w:pPr>
            <w:r w:rsidRPr="00030270">
              <w:rPr>
                <w:sz w:val="22"/>
                <w:szCs w:val="22"/>
              </w:rPr>
              <w:t>Heidi Diamond, Committee Chair, Business</w:t>
            </w:r>
          </w:p>
        </w:tc>
        <w:tc>
          <w:tcPr>
            <w:tcW w:w="720" w:type="dxa"/>
          </w:tcPr>
          <w:p w:rsidR="00030270" w:rsidRPr="00030270" w:rsidRDefault="00030270" w:rsidP="00DD7992">
            <w:pPr>
              <w:jc w:val="center"/>
              <w:rPr>
                <w:sz w:val="22"/>
                <w:szCs w:val="22"/>
              </w:rPr>
            </w:pPr>
            <w:r w:rsidRPr="00030270">
              <w:rPr>
                <w:sz w:val="22"/>
                <w:szCs w:val="22"/>
              </w:rPr>
              <w:t>P</w:t>
            </w:r>
          </w:p>
        </w:tc>
        <w:tc>
          <w:tcPr>
            <w:tcW w:w="4032" w:type="dxa"/>
          </w:tcPr>
          <w:p w:rsidR="00030270" w:rsidRPr="00030270" w:rsidRDefault="00030270" w:rsidP="00DD7992">
            <w:pPr>
              <w:rPr>
                <w:sz w:val="22"/>
                <w:szCs w:val="22"/>
              </w:rPr>
            </w:pPr>
            <w:r w:rsidRPr="00030270">
              <w:rPr>
                <w:sz w:val="22"/>
                <w:szCs w:val="22"/>
              </w:rPr>
              <w:t>Peggy Mathieson, Academic Senate</w:t>
            </w:r>
          </w:p>
        </w:tc>
        <w:tc>
          <w:tcPr>
            <w:tcW w:w="720" w:type="dxa"/>
          </w:tcPr>
          <w:p w:rsidR="00030270" w:rsidRPr="00030270" w:rsidRDefault="00030270" w:rsidP="00DD7992">
            <w:pPr>
              <w:jc w:val="center"/>
              <w:rPr>
                <w:sz w:val="22"/>
                <w:szCs w:val="22"/>
              </w:rPr>
            </w:pPr>
            <w:r>
              <w:rPr>
                <w:sz w:val="22"/>
                <w:szCs w:val="22"/>
              </w:rPr>
              <w:t>P</w:t>
            </w:r>
          </w:p>
        </w:tc>
      </w:tr>
      <w:tr w:rsidR="00030270" w:rsidRPr="00030270" w:rsidTr="00DD7992">
        <w:tc>
          <w:tcPr>
            <w:tcW w:w="4032" w:type="dxa"/>
          </w:tcPr>
          <w:p w:rsidR="00030270" w:rsidRPr="00030270" w:rsidRDefault="00030270" w:rsidP="00DD7992">
            <w:pPr>
              <w:rPr>
                <w:sz w:val="22"/>
                <w:szCs w:val="22"/>
              </w:rPr>
            </w:pPr>
            <w:r w:rsidRPr="00030270">
              <w:rPr>
                <w:sz w:val="22"/>
                <w:szCs w:val="22"/>
              </w:rPr>
              <w:t>Christopher Wright, Applied Arts and Sciences</w:t>
            </w:r>
          </w:p>
        </w:tc>
        <w:tc>
          <w:tcPr>
            <w:tcW w:w="720" w:type="dxa"/>
          </w:tcPr>
          <w:p w:rsidR="00030270" w:rsidRPr="00030270" w:rsidRDefault="00030270" w:rsidP="00DD7992">
            <w:pPr>
              <w:jc w:val="center"/>
              <w:rPr>
                <w:sz w:val="22"/>
                <w:szCs w:val="22"/>
              </w:rPr>
            </w:pPr>
            <w:r w:rsidRPr="00030270">
              <w:rPr>
                <w:sz w:val="22"/>
                <w:szCs w:val="22"/>
              </w:rPr>
              <w:t>P</w:t>
            </w:r>
          </w:p>
        </w:tc>
        <w:tc>
          <w:tcPr>
            <w:tcW w:w="4032" w:type="dxa"/>
          </w:tcPr>
          <w:p w:rsidR="00030270" w:rsidRPr="00030270" w:rsidRDefault="00030270" w:rsidP="00DD7992">
            <w:pPr>
              <w:rPr>
                <w:sz w:val="22"/>
                <w:szCs w:val="22"/>
              </w:rPr>
            </w:pPr>
            <w:r w:rsidRPr="00030270">
              <w:rPr>
                <w:sz w:val="22"/>
                <w:szCs w:val="22"/>
              </w:rPr>
              <w:t>Elizabeth Maciel, Administrative Services</w:t>
            </w:r>
          </w:p>
        </w:tc>
        <w:tc>
          <w:tcPr>
            <w:tcW w:w="720" w:type="dxa"/>
          </w:tcPr>
          <w:p w:rsidR="00030270" w:rsidRPr="00030270" w:rsidRDefault="00030270" w:rsidP="00DD7992">
            <w:pPr>
              <w:jc w:val="center"/>
              <w:rPr>
                <w:sz w:val="22"/>
                <w:szCs w:val="22"/>
              </w:rPr>
            </w:pPr>
            <w:r w:rsidRPr="00030270">
              <w:rPr>
                <w:sz w:val="22"/>
                <w:szCs w:val="22"/>
              </w:rPr>
              <w:t>A</w:t>
            </w:r>
          </w:p>
        </w:tc>
      </w:tr>
      <w:tr w:rsidR="00030270" w:rsidRPr="00030270" w:rsidTr="00DD7992">
        <w:tc>
          <w:tcPr>
            <w:tcW w:w="4032" w:type="dxa"/>
          </w:tcPr>
          <w:p w:rsidR="00030270" w:rsidRPr="00030270" w:rsidRDefault="00030270" w:rsidP="00DD7992">
            <w:pPr>
              <w:rPr>
                <w:sz w:val="22"/>
                <w:szCs w:val="22"/>
              </w:rPr>
            </w:pPr>
            <w:r w:rsidRPr="00030270">
              <w:rPr>
                <w:sz w:val="22"/>
                <w:szCs w:val="22"/>
              </w:rPr>
              <w:t>Heidi Brueckner, Fine Arts</w:t>
            </w:r>
          </w:p>
        </w:tc>
        <w:tc>
          <w:tcPr>
            <w:tcW w:w="720" w:type="dxa"/>
          </w:tcPr>
          <w:p w:rsidR="00030270" w:rsidRPr="00030270" w:rsidRDefault="00030270" w:rsidP="00DD7992">
            <w:pPr>
              <w:jc w:val="center"/>
              <w:rPr>
                <w:sz w:val="22"/>
                <w:szCs w:val="22"/>
              </w:rPr>
            </w:pPr>
            <w:r w:rsidRPr="00030270">
              <w:rPr>
                <w:sz w:val="22"/>
                <w:szCs w:val="22"/>
              </w:rPr>
              <w:t>P</w:t>
            </w:r>
          </w:p>
        </w:tc>
        <w:tc>
          <w:tcPr>
            <w:tcW w:w="4032" w:type="dxa"/>
          </w:tcPr>
          <w:p w:rsidR="00030270" w:rsidRPr="00030270" w:rsidRDefault="00030270" w:rsidP="00DD7992">
            <w:pPr>
              <w:rPr>
                <w:sz w:val="22"/>
                <w:szCs w:val="22"/>
              </w:rPr>
            </w:pPr>
            <w:r w:rsidRPr="00030270">
              <w:rPr>
                <w:sz w:val="22"/>
                <w:szCs w:val="22"/>
              </w:rPr>
              <w:t>LeAnn McGinley, Assessment</w:t>
            </w:r>
          </w:p>
        </w:tc>
        <w:tc>
          <w:tcPr>
            <w:tcW w:w="720" w:type="dxa"/>
          </w:tcPr>
          <w:p w:rsidR="00030270" w:rsidRPr="00030270" w:rsidRDefault="00030270" w:rsidP="00DD7992">
            <w:pPr>
              <w:jc w:val="center"/>
              <w:rPr>
                <w:sz w:val="22"/>
                <w:szCs w:val="22"/>
              </w:rPr>
            </w:pPr>
            <w:r>
              <w:rPr>
                <w:sz w:val="22"/>
                <w:szCs w:val="22"/>
              </w:rPr>
              <w:t>P</w:t>
            </w:r>
          </w:p>
        </w:tc>
      </w:tr>
      <w:tr w:rsidR="00030270" w:rsidRPr="00030270" w:rsidTr="00DD7992">
        <w:tc>
          <w:tcPr>
            <w:tcW w:w="4032" w:type="dxa"/>
          </w:tcPr>
          <w:p w:rsidR="00030270" w:rsidRPr="00030270" w:rsidRDefault="00030270" w:rsidP="00DD7992">
            <w:pPr>
              <w:rPr>
                <w:sz w:val="22"/>
                <w:szCs w:val="22"/>
              </w:rPr>
            </w:pPr>
            <w:r w:rsidRPr="00030270">
              <w:rPr>
                <w:sz w:val="22"/>
                <w:szCs w:val="22"/>
              </w:rPr>
              <w:t>Vacant, Language Arts</w:t>
            </w:r>
          </w:p>
        </w:tc>
        <w:tc>
          <w:tcPr>
            <w:tcW w:w="720" w:type="dxa"/>
          </w:tcPr>
          <w:p w:rsidR="00030270" w:rsidRPr="00030270" w:rsidRDefault="00030270" w:rsidP="00DD7992">
            <w:pPr>
              <w:jc w:val="center"/>
              <w:rPr>
                <w:sz w:val="22"/>
                <w:szCs w:val="22"/>
              </w:rPr>
            </w:pPr>
            <w:r w:rsidRPr="00030270">
              <w:rPr>
                <w:sz w:val="22"/>
                <w:szCs w:val="22"/>
              </w:rPr>
              <w:t>A</w:t>
            </w:r>
          </w:p>
        </w:tc>
        <w:tc>
          <w:tcPr>
            <w:tcW w:w="4032" w:type="dxa"/>
          </w:tcPr>
          <w:p w:rsidR="00030270" w:rsidRPr="00030270" w:rsidRDefault="00030270" w:rsidP="00DD7992">
            <w:pPr>
              <w:rPr>
                <w:sz w:val="22"/>
                <w:szCs w:val="22"/>
              </w:rPr>
            </w:pPr>
            <w:r w:rsidRPr="00030270">
              <w:rPr>
                <w:sz w:val="22"/>
                <w:szCs w:val="22"/>
              </w:rPr>
              <w:t>Inge Bond, Institutional Research</w:t>
            </w:r>
          </w:p>
        </w:tc>
        <w:tc>
          <w:tcPr>
            <w:tcW w:w="720" w:type="dxa"/>
          </w:tcPr>
          <w:p w:rsidR="00030270" w:rsidRPr="00030270" w:rsidRDefault="00030270" w:rsidP="00DD7992">
            <w:pPr>
              <w:jc w:val="center"/>
              <w:rPr>
                <w:sz w:val="22"/>
                <w:szCs w:val="22"/>
              </w:rPr>
            </w:pPr>
            <w:r>
              <w:rPr>
                <w:sz w:val="22"/>
                <w:szCs w:val="22"/>
              </w:rPr>
              <w:t>A</w:t>
            </w:r>
          </w:p>
        </w:tc>
      </w:tr>
      <w:tr w:rsidR="00030270" w:rsidRPr="00030270" w:rsidTr="00DD7992">
        <w:tc>
          <w:tcPr>
            <w:tcW w:w="4032" w:type="dxa"/>
          </w:tcPr>
          <w:p w:rsidR="00030270" w:rsidRPr="00030270" w:rsidRDefault="00030270" w:rsidP="00DD7992">
            <w:pPr>
              <w:rPr>
                <w:sz w:val="22"/>
                <w:szCs w:val="22"/>
              </w:rPr>
            </w:pPr>
            <w:r w:rsidRPr="00030270">
              <w:rPr>
                <w:sz w:val="22"/>
                <w:szCs w:val="22"/>
              </w:rPr>
              <w:t>Rachel Sandoval, Library</w:t>
            </w:r>
          </w:p>
        </w:tc>
        <w:tc>
          <w:tcPr>
            <w:tcW w:w="720" w:type="dxa"/>
          </w:tcPr>
          <w:p w:rsidR="00030270" w:rsidRPr="00030270" w:rsidRDefault="00030270" w:rsidP="00DD7992">
            <w:pPr>
              <w:jc w:val="center"/>
              <w:rPr>
                <w:sz w:val="22"/>
                <w:szCs w:val="22"/>
              </w:rPr>
            </w:pPr>
            <w:r>
              <w:rPr>
                <w:sz w:val="22"/>
                <w:szCs w:val="22"/>
              </w:rPr>
              <w:t>A</w:t>
            </w:r>
          </w:p>
        </w:tc>
        <w:tc>
          <w:tcPr>
            <w:tcW w:w="4032" w:type="dxa"/>
          </w:tcPr>
          <w:p w:rsidR="00030270" w:rsidRPr="00030270" w:rsidRDefault="00030270" w:rsidP="00DD7992">
            <w:pPr>
              <w:rPr>
                <w:sz w:val="22"/>
                <w:szCs w:val="22"/>
              </w:rPr>
            </w:pPr>
            <w:r w:rsidRPr="00030270">
              <w:rPr>
                <w:sz w:val="22"/>
                <w:szCs w:val="22"/>
              </w:rPr>
              <w:t>Michelle Donohue-Mendoza, Student Services</w:t>
            </w:r>
          </w:p>
        </w:tc>
        <w:tc>
          <w:tcPr>
            <w:tcW w:w="720" w:type="dxa"/>
          </w:tcPr>
          <w:p w:rsidR="00030270" w:rsidRPr="00030270" w:rsidRDefault="00030270" w:rsidP="00DD7992">
            <w:pPr>
              <w:jc w:val="center"/>
              <w:rPr>
                <w:sz w:val="22"/>
                <w:szCs w:val="22"/>
              </w:rPr>
            </w:pPr>
            <w:r w:rsidRPr="00030270">
              <w:rPr>
                <w:sz w:val="22"/>
                <w:szCs w:val="22"/>
              </w:rPr>
              <w:t>A</w:t>
            </w:r>
          </w:p>
        </w:tc>
      </w:tr>
      <w:tr w:rsidR="00030270" w:rsidRPr="00030270" w:rsidTr="00DD7992">
        <w:tc>
          <w:tcPr>
            <w:tcW w:w="4032" w:type="dxa"/>
          </w:tcPr>
          <w:p w:rsidR="00030270" w:rsidRPr="00030270" w:rsidRDefault="00030270" w:rsidP="00DD7992">
            <w:pPr>
              <w:rPr>
                <w:sz w:val="22"/>
                <w:szCs w:val="22"/>
              </w:rPr>
            </w:pPr>
            <w:r w:rsidRPr="00030270">
              <w:rPr>
                <w:sz w:val="22"/>
                <w:szCs w:val="22"/>
              </w:rPr>
              <w:t>Amy Vu, Math and Science</w:t>
            </w:r>
          </w:p>
        </w:tc>
        <w:tc>
          <w:tcPr>
            <w:tcW w:w="720" w:type="dxa"/>
          </w:tcPr>
          <w:p w:rsidR="00030270" w:rsidRPr="00030270" w:rsidRDefault="00030270" w:rsidP="00DD7992">
            <w:pPr>
              <w:jc w:val="center"/>
              <w:rPr>
                <w:sz w:val="22"/>
                <w:szCs w:val="22"/>
              </w:rPr>
            </w:pPr>
            <w:r w:rsidRPr="00030270">
              <w:rPr>
                <w:sz w:val="22"/>
                <w:szCs w:val="22"/>
              </w:rPr>
              <w:t>P</w:t>
            </w:r>
          </w:p>
        </w:tc>
        <w:tc>
          <w:tcPr>
            <w:tcW w:w="4032" w:type="dxa"/>
          </w:tcPr>
          <w:p w:rsidR="00030270" w:rsidRPr="00030270" w:rsidRDefault="00030270" w:rsidP="00DD7992">
            <w:pPr>
              <w:rPr>
                <w:sz w:val="22"/>
                <w:szCs w:val="22"/>
              </w:rPr>
            </w:pPr>
            <w:r w:rsidRPr="00030270">
              <w:rPr>
                <w:sz w:val="22"/>
                <w:szCs w:val="22"/>
              </w:rPr>
              <w:t>Sonia Espejo, Associated Students</w:t>
            </w:r>
          </w:p>
        </w:tc>
        <w:tc>
          <w:tcPr>
            <w:tcW w:w="720" w:type="dxa"/>
          </w:tcPr>
          <w:p w:rsidR="00030270" w:rsidRPr="00030270" w:rsidRDefault="00030270" w:rsidP="00DD7992">
            <w:pPr>
              <w:jc w:val="center"/>
              <w:rPr>
                <w:sz w:val="22"/>
                <w:szCs w:val="22"/>
              </w:rPr>
            </w:pPr>
            <w:r>
              <w:rPr>
                <w:sz w:val="22"/>
                <w:szCs w:val="22"/>
              </w:rPr>
              <w:t>P</w:t>
            </w:r>
          </w:p>
        </w:tc>
      </w:tr>
      <w:tr w:rsidR="00030270" w:rsidRPr="00030270" w:rsidTr="00DD7992">
        <w:tc>
          <w:tcPr>
            <w:tcW w:w="4032" w:type="dxa"/>
          </w:tcPr>
          <w:p w:rsidR="00030270" w:rsidRPr="00030270" w:rsidRDefault="00030270" w:rsidP="00DD7992">
            <w:pPr>
              <w:rPr>
                <w:sz w:val="22"/>
                <w:szCs w:val="22"/>
              </w:rPr>
            </w:pPr>
            <w:r w:rsidRPr="00030270">
              <w:rPr>
                <w:sz w:val="22"/>
                <w:szCs w:val="22"/>
              </w:rPr>
              <w:t>Wendy Bowers-Gachesa, Physical Education</w:t>
            </w:r>
          </w:p>
        </w:tc>
        <w:tc>
          <w:tcPr>
            <w:tcW w:w="720" w:type="dxa"/>
          </w:tcPr>
          <w:p w:rsidR="00030270" w:rsidRPr="00030270" w:rsidRDefault="00030270" w:rsidP="00DD7992">
            <w:pPr>
              <w:jc w:val="center"/>
              <w:rPr>
                <w:sz w:val="22"/>
                <w:szCs w:val="22"/>
              </w:rPr>
            </w:pPr>
            <w:r w:rsidRPr="00030270">
              <w:rPr>
                <w:sz w:val="22"/>
                <w:szCs w:val="22"/>
              </w:rPr>
              <w:t>A</w:t>
            </w:r>
          </w:p>
        </w:tc>
        <w:tc>
          <w:tcPr>
            <w:tcW w:w="4032" w:type="dxa"/>
          </w:tcPr>
          <w:p w:rsidR="00030270" w:rsidRPr="00030270" w:rsidRDefault="00030270" w:rsidP="00DD7992">
            <w:pPr>
              <w:rPr>
                <w:sz w:val="22"/>
                <w:szCs w:val="22"/>
              </w:rPr>
            </w:pPr>
            <w:r w:rsidRPr="00030270">
              <w:rPr>
                <w:sz w:val="22"/>
                <w:szCs w:val="22"/>
              </w:rPr>
              <w:t>Stephanie Kashima, Dean of  Instruction and Student Success</w:t>
            </w:r>
          </w:p>
        </w:tc>
        <w:tc>
          <w:tcPr>
            <w:tcW w:w="720" w:type="dxa"/>
          </w:tcPr>
          <w:p w:rsidR="00030270" w:rsidRPr="00030270" w:rsidRDefault="00030270" w:rsidP="00DD7992">
            <w:pPr>
              <w:jc w:val="center"/>
              <w:rPr>
                <w:sz w:val="22"/>
                <w:szCs w:val="22"/>
              </w:rPr>
            </w:pPr>
            <w:r w:rsidRPr="00030270">
              <w:rPr>
                <w:sz w:val="22"/>
                <w:szCs w:val="22"/>
              </w:rPr>
              <w:t>A</w:t>
            </w:r>
          </w:p>
        </w:tc>
      </w:tr>
      <w:tr w:rsidR="00030270" w:rsidRPr="00030270" w:rsidTr="00DD7992">
        <w:tc>
          <w:tcPr>
            <w:tcW w:w="4032" w:type="dxa"/>
          </w:tcPr>
          <w:p w:rsidR="00030270" w:rsidRPr="00030270" w:rsidRDefault="00030270" w:rsidP="00DD7992">
            <w:pPr>
              <w:rPr>
                <w:sz w:val="22"/>
                <w:szCs w:val="22"/>
              </w:rPr>
            </w:pPr>
            <w:r w:rsidRPr="00030270">
              <w:rPr>
                <w:sz w:val="22"/>
                <w:szCs w:val="22"/>
              </w:rPr>
              <w:t>Vacant, Social Sciences</w:t>
            </w:r>
          </w:p>
        </w:tc>
        <w:tc>
          <w:tcPr>
            <w:tcW w:w="720" w:type="dxa"/>
          </w:tcPr>
          <w:p w:rsidR="00030270" w:rsidRPr="00030270" w:rsidRDefault="00030270" w:rsidP="00DD7992">
            <w:pPr>
              <w:jc w:val="center"/>
              <w:rPr>
                <w:sz w:val="22"/>
                <w:szCs w:val="22"/>
              </w:rPr>
            </w:pPr>
            <w:r w:rsidRPr="00030270">
              <w:rPr>
                <w:sz w:val="22"/>
                <w:szCs w:val="22"/>
              </w:rPr>
              <w:t>A</w:t>
            </w:r>
          </w:p>
        </w:tc>
        <w:tc>
          <w:tcPr>
            <w:tcW w:w="4032" w:type="dxa"/>
          </w:tcPr>
          <w:p w:rsidR="00030270" w:rsidRPr="00030270" w:rsidRDefault="00030270" w:rsidP="00DD7992">
            <w:pPr>
              <w:rPr>
                <w:sz w:val="22"/>
                <w:szCs w:val="22"/>
              </w:rPr>
            </w:pPr>
            <w:r w:rsidRPr="00030270">
              <w:rPr>
                <w:sz w:val="22"/>
                <w:szCs w:val="22"/>
              </w:rPr>
              <w:t>Tanya Hanton, Sr. Administrative Asst. and Meeting Recorder</w:t>
            </w:r>
          </w:p>
        </w:tc>
        <w:tc>
          <w:tcPr>
            <w:tcW w:w="720" w:type="dxa"/>
          </w:tcPr>
          <w:p w:rsidR="00030270" w:rsidRPr="00030270" w:rsidRDefault="00030270" w:rsidP="00DD7992">
            <w:pPr>
              <w:jc w:val="center"/>
              <w:rPr>
                <w:sz w:val="22"/>
                <w:szCs w:val="22"/>
              </w:rPr>
            </w:pPr>
            <w:r w:rsidRPr="00030270">
              <w:rPr>
                <w:sz w:val="22"/>
                <w:szCs w:val="22"/>
              </w:rPr>
              <w:t>P</w:t>
            </w:r>
          </w:p>
        </w:tc>
      </w:tr>
      <w:tr w:rsidR="00030270" w:rsidRPr="00030270" w:rsidTr="00DD7992">
        <w:tc>
          <w:tcPr>
            <w:tcW w:w="4032" w:type="dxa"/>
          </w:tcPr>
          <w:p w:rsidR="00030270" w:rsidRPr="00030270" w:rsidRDefault="00030270" w:rsidP="00DD7992">
            <w:pPr>
              <w:rPr>
                <w:sz w:val="22"/>
                <w:szCs w:val="22"/>
              </w:rPr>
            </w:pPr>
            <w:r>
              <w:rPr>
                <w:sz w:val="22"/>
                <w:szCs w:val="22"/>
              </w:rPr>
              <w:t>Cheryl Miller, Curriculum Committee – Guest</w:t>
            </w:r>
          </w:p>
        </w:tc>
        <w:tc>
          <w:tcPr>
            <w:tcW w:w="720" w:type="dxa"/>
          </w:tcPr>
          <w:p w:rsidR="00030270" w:rsidRPr="00030270" w:rsidRDefault="00030270" w:rsidP="00DD7992">
            <w:pPr>
              <w:jc w:val="center"/>
              <w:rPr>
                <w:sz w:val="22"/>
                <w:szCs w:val="22"/>
              </w:rPr>
            </w:pPr>
            <w:r>
              <w:rPr>
                <w:sz w:val="22"/>
                <w:szCs w:val="22"/>
              </w:rPr>
              <w:t>P</w:t>
            </w:r>
          </w:p>
        </w:tc>
        <w:tc>
          <w:tcPr>
            <w:tcW w:w="4032" w:type="dxa"/>
          </w:tcPr>
          <w:p w:rsidR="00030270" w:rsidRPr="00030270" w:rsidRDefault="00030270" w:rsidP="00DD7992">
            <w:pPr>
              <w:rPr>
                <w:sz w:val="22"/>
                <w:szCs w:val="22"/>
              </w:rPr>
            </w:pPr>
          </w:p>
        </w:tc>
        <w:tc>
          <w:tcPr>
            <w:tcW w:w="720" w:type="dxa"/>
          </w:tcPr>
          <w:p w:rsidR="00030270" w:rsidRPr="00030270" w:rsidRDefault="00030270" w:rsidP="00DD7992">
            <w:pPr>
              <w:jc w:val="center"/>
              <w:rPr>
                <w:sz w:val="22"/>
                <w:szCs w:val="22"/>
              </w:rPr>
            </w:pPr>
          </w:p>
        </w:tc>
      </w:tr>
    </w:tbl>
    <w:p w:rsidR="00C54FDB" w:rsidRDefault="00C54FDB" w:rsidP="003C5725">
      <w:pPr>
        <w:rPr>
          <w:sz w:val="28"/>
          <w:szCs w:val="28"/>
        </w:rPr>
      </w:pPr>
    </w:p>
    <w:p w:rsidR="00030270" w:rsidRPr="00030270" w:rsidRDefault="00030270" w:rsidP="00030270">
      <w:pPr>
        <w:spacing w:after="0"/>
        <w:rPr>
          <w:sz w:val="28"/>
          <w:szCs w:val="28"/>
        </w:rPr>
      </w:pPr>
      <w:r w:rsidRPr="00030270">
        <w:rPr>
          <w:sz w:val="28"/>
          <w:szCs w:val="28"/>
        </w:rPr>
        <w:t>I.</w:t>
      </w:r>
      <w:r w:rsidR="008D0D07" w:rsidRPr="00030270">
        <w:rPr>
          <w:sz w:val="28"/>
          <w:szCs w:val="28"/>
        </w:rPr>
        <w:t>Plan for assessing 107 unassessed courses this fall</w:t>
      </w:r>
    </w:p>
    <w:p w:rsidR="00030270" w:rsidRPr="00030270" w:rsidRDefault="00030270" w:rsidP="00030270">
      <w:pPr>
        <w:numPr>
          <w:ilvl w:val="1"/>
          <w:numId w:val="2"/>
        </w:numPr>
        <w:contextualSpacing/>
        <w:rPr>
          <w:sz w:val="28"/>
          <w:szCs w:val="28"/>
        </w:rPr>
      </w:pPr>
      <w:r w:rsidRPr="00030270">
        <w:t xml:space="preserve">Stephanie </w:t>
      </w:r>
      <w:r w:rsidR="001F7740">
        <w:t>e-mailed</w:t>
      </w:r>
      <w:r w:rsidRPr="00030270">
        <w:t xml:space="preserve"> a list of unassessed courses for the applicable departments to review. If assessments cannot be found, the chairs may need to contact the instructors who last taught the course to get whatever syllabi and grades they have.</w:t>
      </w:r>
    </w:p>
    <w:p w:rsidR="008D0D07" w:rsidRDefault="00CB4812" w:rsidP="001F7740">
      <w:pPr>
        <w:pStyle w:val="ListParagraph"/>
        <w:numPr>
          <w:ilvl w:val="0"/>
          <w:numId w:val="2"/>
        </w:numPr>
        <w:spacing w:after="0"/>
      </w:pPr>
      <w:r w:rsidRPr="001F7740">
        <w:rPr>
          <w:sz w:val="28"/>
          <w:szCs w:val="28"/>
        </w:rPr>
        <w:t>Integrated planning – connecting SLOs and Program Review</w:t>
      </w:r>
      <w:r w:rsidR="0098720D" w:rsidRPr="001F7740">
        <w:rPr>
          <w:sz w:val="28"/>
          <w:szCs w:val="28"/>
        </w:rPr>
        <w:br/>
      </w:r>
      <w:r w:rsidR="008D0D07">
        <w:t>I</w:t>
      </w:r>
      <w:r w:rsidR="0098720D" w:rsidRPr="0098720D">
        <w:t>B.</w:t>
      </w:r>
      <w:r w:rsidR="001F7740">
        <w:t>6</w:t>
      </w:r>
      <w:r w:rsidR="0098720D" w:rsidRPr="0098720D">
        <w:t>:</w:t>
      </w:r>
      <w:r w:rsidR="0098720D">
        <w:t xml:space="preserve">  “The institution assesses its evaluation mechanisms through a systematic review of their effectiveness in improving programs, student support services, and library and other learning and support services.”</w:t>
      </w:r>
    </w:p>
    <w:p w:rsidR="001F7740" w:rsidRPr="005F40D3" w:rsidRDefault="005F40D3" w:rsidP="001F7740">
      <w:pPr>
        <w:numPr>
          <w:ilvl w:val="1"/>
          <w:numId w:val="2"/>
        </w:numPr>
        <w:contextualSpacing/>
        <w:rPr>
          <w:sz w:val="28"/>
          <w:szCs w:val="28"/>
        </w:rPr>
      </w:pPr>
      <w:r w:rsidRPr="005F40D3">
        <w:t xml:space="preserve">Program Review Question #21 asks the following question: “Does the SLO process improve programs for student services, the library, instruction and student learning?” The answers to this question allow the reviewers </w:t>
      </w:r>
      <w:r w:rsidRPr="005F40D3">
        <w:lastRenderedPageBreak/>
        <w:t>to identify college-wide themes that show where goals are being met and where changes are needed. In addition to providing the division chairs with an overview of the departments, the themes offer College Council more concrete information as to where funds are needed to enhance student success</w:t>
      </w:r>
      <w:r>
        <w:t>.</w:t>
      </w:r>
    </w:p>
    <w:p w:rsidR="005F40D3" w:rsidRPr="00030270" w:rsidRDefault="005F40D3" w:rsidP="001F7740">
      <w:pPr>
        <w:numPr>
          <w:ilvl w:val="1"/>
          <w:numId w:val="2"/>
        </w:numPr>
        <w:contextualSpacing/>
        <w:rPr>
          <w:sz w:val="28"/>
          <w:szCs w:val="28"/>
        </w:rPr>
      </w:pPr>
      <w:r>
        <w:t>Discussion of how SLOs fit into this integrated process followed.</w:t>
      </w:r>
    </w:p>
    <w:p w:rsidR="005F40D3" w:rsidRPr="005F40D3" w:rsidRDefault="005F40D3" w:rsidP="005F40D3">
      <w:pPr>
        <w:spacing w:after="0"/>
        <w:rPr>
          <w:sz w:val="28"/>
          <w:szCs w:val="28"/>
        </w:rPr>
      </w:pPr>
      <w:r w:rsidRPr="005F40D3">
        <w:rPr>
          <w:sz w:val="28"/>
          <w:szCs w:val="28"/>
        </w:rPr>
        <w:t>III.</w:t>
      </w:r>
      <w:r w:rsidR="008D0D07" w:rsidRPr="005F40D3">
        <w:rPr>
          <w:sz w:val="28"/>
          <w:szCs w:val="28"/>
        </w:rPr>
        <w:t>Program Level Outcomes – template provided</w:t>
      </w:r>
    </w:p>
    <w:p w:rsidR="005F40D3" w:rsidRPr="005F40D3" w:rsidRDefault="005F40D3" w:rsidP="005F40D3">
      <w:pPr>
        <w:numPr>
          <w:ilvl w:val="1"/>
          <w:numId w:val="3"/>
        </w:numPr>
        <w:contextualSpacing/>
        <w:rPr>
          <w:sz w:val="28"/>
          <w:szCs w:val="28"/>
        </w:rPr>
      </w:pPr>
      <w:r w:rsidRPr="005F40D3">
        <w:t>The group reviewed the sample Program Level Outcome created by Heidi Diamond for an Administrative Management Certificate.  The template ties individual Student Learning Outcomes to the Program Learning Outcome, and shows which Institutional Level Outcomes are supported. The template also contains a narrative response, lists the methods of assessment for the SLOs and indicates planned program changes and recommendations for college-wide improvements</w:t>
      </w:r>
      <w:r>
        <w:t>.</w:t>
      </w:r>
    </w:p>
    <w:p w:rsidR="005F40D3" w:rsidRPr="005F40D3" w:rsidRDefault="005F40D3" w:rsidP="005F40D3">
      <w:pPr>
        <w:numPr>
          <w:ilvl w:val="1"/>
          <w:numId w:val="3"/>
        </w:numPr>
        <w:contextualSpacing/>
        <w:rPr>
          <w:sz w:val="28"/>
          <w:szCs w:val="28"/>
        </w:rPr>
      </w:pPr>
      <w:r w:rsidRPr="005F40D3">
        <w:t>One question that arose was what to do if there are numerous courses that make up a PLO. It was decided that using capstone or required courses would be sufficient. The group also discussed the process of gathering the information needed for a PLO. One possible way might be to list all of the SLOs on one sheet, all of the PLOs on another sheet, and all of the ILOs on a third sheet; then, use the lists and the template to consolidate the information</w:t>
      </w:r>
      <w:r>
        <w:t>.</w:t>
      </w:r>
    </w:p>
    <w:p w:rsidR="005F40D3" w:rsidRPr="005F40D3" w:rsidRDefault="005F40D3" w:rsidP="005F40D3">
      <w:pPr>
        <w:numPr>
          <w:ilvl w:val="1"/>
          <w:numId w:val="3"/>
        </w:numPr>
        <w:contextualSpacing/>
        <w:rPr>
          <w:sz w:val="28"/>
          <w:szCs w:val="28"/>
        </w:rPr>
      </w:pPr>
      <w:r w:rsidRPr="005F40D3">
        <w:t>Heidi suggested that the representatives take the template back to their departments and ask the department chairs for their feedback</w:t>
      </w:r>
      <w:r>
        <w:t>.</w:t>
      </w:r>
    </w:p>
    <w:p w:rsidR="00196628" w:rsidRDefault="0098720D" w:rsidP="005F40D3">
      <w:pPr>
        <w:spacing w:after="0"/>
        <w:rPr>
          <w:sz w:val="28"/>
          <w:szCs w:val="28"/>
        </w:rPr>
      </w:pPr>
      <w:r w:rsidRPr="005F40D3">
        <w:rPr>
          <w:sz w:val="28"/>
          <w:szCs w:val="28"/>
        </w:rPr>
        <w:t>I</w:t>
      </w:r>
      <w:r w:rsidR="00590996" w:rsidRPr="005F40D3">
        <w:rPr>
          <w:sz w:val="28"/>
          <w:szCs w:val="28"/>
        </w:rPr>
        <w:t>V</w:t>
      </w:r>
      <w:r w:rsidR="005F40D3" w:rsidRPr="005F40D3">
        <w:rPr>
          <w:sz w:val="28"/>
          <w:szCs w:val="28"/>
        </w:rPr>
        <w:t>. SLO</w:t>
      </w:r>
      <w:r w:rsidR="008D0D07" w:rsidRPr="005F40D3">
        <w:rPr>
          <w:sz w:val="28"/>
          <w:szCs w:val="28"/>
        </w:rPr>
        <w:t xml:space="preserve"> committee/</w:t>
      </w:r>
      <w:r w:rsidR="005F40D3" w:rsidRPr="005F40D3">
        <w:rPr>
          <w:sz w:val="28"/>
          <w:szCs w:val="28"/>
        </w:rPr>
        <w:t>Curriculum</w:t>
      </w:r>
      <w:r w:rsidR="008D0D07" w:rsidRPr="005F40D3">
        <w:rPr>
          <w:sz w:val="28"/>
          <w:szCs w:val="28"/>
        </w:rPr>
        <w:t xml:space="preserve"> committee collaboration to assist faculty with developing and revising student learning outcomes</w:t>
      </w:r>
    </w:p>
    <w:p w:rsidR="00ED26A6" w:rsidRPr="005F40D3" w:rsidRDefault="00ED26A6" w:rsidP="00ED26A6">
      <w:pPr>
        <w:numPr>
          <w:ilvl w:val="1"/>
          <w:numId w:val="5"/>
        </w:numPr>
        <w:contextualSpacing/>
        <w:rPr>
          <w:sz w:val="28"/>
          <w:szCs w:val="28"/>
        </w:rPr>
      </w:pPr>
      <w:r w:rsidRPr="00ED26A6">
        <w:t>Cheryl Miller, Chair of the Curriculum Committee, asked who faculty would consult regarding SLOs for new or revised courses. One goal of the SLO Committee is to have an SLO representative for each division who attends the SLO meetings and funnels information to and from the division.  After the Department Chair approves the content of a new or revised course, the instructor can meet with the SLO representative who can answer questions and offer suggestions for the SLO assessment, insuring that the guidelines are followed. Ideally, the SLO Committee and Curriculum Committee representatives will confer and provide consistency and up-to-date information</w:t>
      </w:r>
      <w:r>
        <w:t>.</w:t>
      </w:r>
    </w:p>
    <w:p w:rsidR="00ED26A6" w:rsidRPr="005F40D3" w:rsidRDefault="00ED26A6" w:rsidP="00ED26A6">
      <w:pPr>
        <w:numPr>
          <w:ilvl w:val="1"/>
          <w:numId w:val="5"/>
        </w:numPr>
        <w:contextualSpacing/>
        <w:rPr>
          <w:sz w:val="28"/>
          <w:szCs w:val="28"/>
        </w:rPr>
      </w:pPr>
      <w:r>
        <w:t>The assessment cycle is every three years for courses and every five years for programs.</w:t>
      </w:r>
    </w:p>
    <w:p w:rsidR="00196628" w:rsidRPr="005F40D3" w:rsidRDefault="00196628" w:rsidP="005F40D3">
      <w:pPr>
        <w:spacing w:after="0"/>
        <w:rPr>
          <w:sz w:val="28"/>
          <w:szCs w:val="28"/>
        </w:rPr>
      </w:pPr>
    </w:p>
    <w:p w:rsidR="003C5725" w:rsidRPr="00D47488" w:rsidRDefault="00E82A9C" w:rsidP="003C5725">
      <w:pPr>
        <w:rPr>
          <w:sz w:val="20"/>
          <w:szCs w:val="20"/>
        </w:rPr>
      </w:pPr>
      <w:r>
        <w:rPr>
          <w:sz w:val="28"/>
          <w:szCs w:val="28"/>
        </w:rPr>
        <w:t>V</w:t>
      </w:r>
      <w:r w:rsidR="0098720D">
        <w:rPr>
          <w:sz w:val="28"/>
          <w:szCs w:val="28"/>
        </w:rPr>
        <w:t>. Next meeting – November 8</w:t>
      </w:r>
      <w:r w:rsidR="00017CAE">
        <w:rPr>
          <w:sz w:val="28"/>
          <w:szCs w:val="28"/>
        </w:rPr>
        <w:t xml:space="preserve">, </w:t>
      </w:r>
      <w:r w:rsidR="00CB4812">
        <w:rPr>
          <w:sz w:val="28"/>
          <w:szCs w:val="28"/>
        </w:rPr>
        <w:t xml:space="preserve">2012, </w:t>
      </w:r>
      <w:r w:rsidR="00017CAE">
        <w:rPr>
          <w:sz w:val="28"/>
          <w:szCs w:val="28"/>
        </w:rPr>
        <w:t>2:45 – 4:00 p.m., Fox 211</w:t>
      </w:r>
      <w:r w:rsidR="006E5044" w:rsidRPr="001C546F">
        <w:rPr>
          <w:sz w:val="28"/>
          <w:szCs w:val="28"/>
        </w:rPr>
        <w:br/>
      </w:r>
      <w:r w:rsidR="006E5044">
        <w:br/>
      </w:r>
      <w:r w:rsidR="00671DDA">
        <w:rPr>
          <w:sz w:val="20"/>
          <w:szCs w:val="20"/>
        </w:rPr>
        <w:br/>
      </w:r>
      <w:r w:rsidR="00ED26A6">
        <w:t>Summary prepared by Tanya Hanton</w:t>
      </w:r>
      <w:r w:rsidR="00ED26A6" w:rsidRPr="00FB1305">
        <w:rPr>
          <w:sz w:val="28"/>
          <w:szCs w:val="28"/>
        </w:rPr>
        <w:br/>
      </w:r>
    </w:p>
    <w:sectPr w:rsidR="003C5725" w:rsidRPr="00D47488" w:rsidSect="009F5E8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D58"/>
    <w:multiLevelType w:val="multilevel"/>
    <w:tmpl w:val="5E869070"/>
    <w:lvl w:ilvl="0">
      <w:start w:val="1"/>
      <w:numFmt w:val="upperRoman"/>
      <w:lvlText w:val="%1."/>
      <w:lvlJc w:val="left"/>
      <w:pPr>
        <w:ind w:left="360" w:hanging="360"/>
      </w:pPr>
      <w:rPr>
        <w:rFonts w:ascii="Cambria" w:hAnsi="Cambria" w:hint="default"/>
        <w:sz w:val="28"/>
      </w:rPr>
    </w:lvl>
    <w:lvl w:ilvl="1">
      <w:start w:val="1"/>
      <w:numFmt w:val="lowerLetter"/>
      <w:lvlText w:val="%2."/>
      <w:lvlJc w:val="left"/>
      <w:pPr>
        <w:ind w:left="1080" w:hanging="360"/>
      </w:pPr>
      <w:rPr>
        <w:rFonts w:ascii="Cambria" w:hAnsi="Cambria" w:hint="default"/>
        <w:sz w:val="24"/>
      </w:rPr>
    </w:lvl>
    <w:lvl w:ilvl="2">
      <w:start w:val="1"/>
      <w:numFmt w:val="lowerRoman"/>
      <w:lvlText w:val="%3."/>
      <w:lvlJc w:val="right"/>
      <w:pPr>
        <w:ind w:left="1800" w:hanging="180"/>
      </w:pPr>
      <w:rPr>
        <w:rFonts w:ascii="Cambria" w:hAnsi="Cambria"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244528AE"/>
    <w:multiLevelType w:val="multilevel"/>
    <w:tmpl w:val="7918142C"/>
    <w:lvl w:ilvl="0">
      <w:start w:val="1"/>
      <w:numFmt w:val="upperRoman"/>
      <w:lvlText w:val="%1."/>
      <w:lvlJc w:val="left"/>
      <w:pPr>
        <w:ind w:left="360" w:hanging="360"/>
      </w:pPr>
      <w:rPr>
        <w:rFonts w:ascii="Cambria" w:hAnsi="Cambria" w:hint="default"/>
        <w:sz w:val="28"/>
      </w:rPr>
    </w:lvl>
    <w:lvl w:ilvl="1">
      <w:start w:val="1"/>
      <w:numFmt w:val="lowerLetter"/>
      <w:lvlText w:val="%2."/>
      <w:lvlJc w:val="left"/>
      <w:pPr>
        <w:ind w:left="1080" w:hanging="360"/>
      </w:pPr>
      <w:rPr>
        <w:rFonts w:ascii="Cambria" w:hAnsi="Cambria" w:hint="default"/>
        <w:sz w:val="24"/>
      </w:rPr>
    </w:lvl>
    <w:lvl w:ilvl="2">
      <w:start w:val="1"/>
      <w:numFmt w:val="lowerRoman"/>
      <w:lvlText w:val="%3."/>
      <w:lvlJc w:val="right"/>
      <w:pPr>
        <w:ind w:left="1800" w:hanging="180"/>
      </w:pPr>
      <w:rPr>
        <w:rFonts w:ascii="Cambria" w:hAnsi="Cambria"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346D6849"/>
    <w:multiLevelType w:val="hybridMultilevel"/>
    <w:tmpl w:val="D1683AE4"/>
    <w:lvl w:ilvl="0" w:tplc="5ED69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E7673"/>
    <w:multiLevelType w:val="multilevel"/>
    <w:tmpl w:val="5E869070"/>
    <w:lvl w:ilvl="0">
      <w:start w:val="1"/>
      <w:numFmt w:val="upperRoman"/>
      <w:lvlText w:val="%1."/>
      <w:lvlJc w:val="left"/>
      <w:pPr>
        <w:ind w:left="360" w:hanging="360"/>
      </w:pPr>
      <w:rPr>
        <w:rFonts w:ascii="Cambria" w:hAnsi="Cambria" w:hint="default"/>
        <w:sz w:val="28"/>
      </w:rPr>
    </w:lvl>
    <w:lvl w:ilvl="1">
      <w:start w:val="1"/>
      <w:numFmt w:val="lowerLetter"/>
      <w:lvlText w:val="%2."/>
      <w:lvlJc w:val="left"/>
      <w:pPr>
        <w:ind w:left="1080" w:hanging="360"/>
      </w:pPr>
      <w:rPr>
        <w:rFonts w:ascii="Cambria" w:hAnsi="Cambria" w:hint="default"/>
        <w:sz w:val="24"/>
      </w:rPr>
    </w:lvl>
    <w:lvl w:ilvl="2">
      <w:start w:val="1"/>
      <w:numFmt w:val="lowerRoman"/>
      <w:lvlText w:val="%3."/>
      <w:lvlJc w:val="right"/>
      <w:pPr>
        <w:ind w:left="1800" w:hanging="180"/>
      </w:pPr>
      <w:rPr>
        <w:rFonts w:ascii="Cambria" w:hAnsi="Cambria"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420E54CE"/>
    <w:multiLevelType w:val="multilevel"/>
    <w:tmpl w:val="5E869070"/>
    <w:lvl w:ilvl="0">
      <w:start w:val="1"/>
      <w:numFmt w:val="upperRoman"/>
      <w:lvlText w:val="%1."/>
      <w:lvlJc w:val="left"/>
      <w:pPr>
        <w:ind w:left="360" w:hanging="360"/>
      </w:pPr>
      <w:rPr>
        <w:rFonts w:ascii="Cambria" w:hAnsi="Cambria" w:hint="default"/>
        <w:sz w:val="28"/>
      </w:rPr>
    </w:lvl>
    <w:lvl w:ilvl="1">
      <w:start w:val="1"/>
      <w:numFmt w:val="lowerLetter"/>
      <w:lvlText w:val="%2."/>
      <w:lvlJc w:val="left"/>
      <w:pPr>
        <w:ind w:left="1080" w:hanging="360"/>
      </w:pPr>
      <w:rPr>
        <w:rFonts w:ascii="Cambria" w:hAnsi="Cambria" w:hint="default"/>
        <w:sz w:val="24"/>
      </w:rPr>
    </w:lvl>
    <w:lvl w:ilvl="2">
      <w:start w:val="1"/>
      <w:numFmt w:val="lowerRoman"/>
      <w:lvlText w:val="%3."/>
      <w:lvlJc w:val="right"/>
      <w:pPr>
        <w:ind w:left="1800" w:hanging="180"/>
      </w:pPr>
      <w:rPr>
        <w:rFonts w:ascii="Cambria" w:hAnsi="Cambria"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3E4F84"/>
    <w:rsid w:val="00017CAE"/>
    <w:rsid w:val="00030270"/>
    <w:rsid w:val="000D0177"/>
    <w:rsid w:val="000E0E7F"/>
    <w:rsid w:val="000E616D"/>
    <w:rsid w:val="00107CCD"/>
    <w:rsid w:val="00114807"/>
    <w:rsid w:val="001332AF"/>
    <w:rsid w:val="001379D9"/>
    <w:rsid w:val="00141F1A"/>
    <w:rsid w:val="00196628"/>
    <w:rsid w:val="001B3A3B"/>
    <w:rsid w:val="001B77A5"/>
    <w:rsid w:val="001C546F"/>
    <w:rsid w:val="001C7B7A"/>
    <w:rsid w:val="001F7740"/>
    <w:rsid w:val="002C2BB3"/>
    <w:rsid w:val="002E6274"/>
    <w:rsid w:val="002F4208"/>
    <w:rsid w:val="003240CC"/>
    <w:rsid w:val="00366E5B"/>
    <w:rsid w:val="00395C34"/>
    <w:rsid w:val="00396077"/>
    <w:rsid w:val="003B1647"/>
    <w:rsid w:val="003C5725"/>
    <w:rsid w:val="003E4F84"/>
    <w:rsid w:val="003E5BFB"/>
    <w:rsid w:val="003F7813"/>
    <w:rsid w:val="00402D46"/>
    <w:rsid w:val="00420326"/>
    <w:rsid w:val="00431CB2"/>
    <w:rsid w:val="00440DD8"/>
    <w:rsid w:val="0045456B"/>
    <w:rsid w:val="004734AE"/>
    <w:rsid w:val="00480D82"/>
    <w:rsid w:val="00486611"/>
    <w:rsid w:val="0048768D"/>
    <w:rsid w:val="004A63C5"/>
    <w:rsid w:val="004B1343"/>
    <w:rsid w:val="004C1287"/>
    <w:rsid w:val="004E16B9"/>
    <w:rsid w:val="004E6B8A"/>
    <w:rsid w:val="00517B79"/>
    <w:rsid w:val="00543416"/>
    <w:rsid w:val="005650C1"/>
    <w:rsid w:val="00590996"/>
    <w:rsid w:val="005D45F2"/>
    <w:rsid w:val="005F40D3"/>
    <w:rsid w:val="0060146A"/>
    <w:rsid w:val="00621D54"/>
    <w:rsid w:val="00652D1A"/>
    <w:rsid w:val="00671DDA"/>
    <w:rsid w:val="00674EDA"/>
    <w:rsid w:val="00683B97"/>
    <w:rsid w:val="006C7137"/>
    <w:rsid w:val="006D54E9"/>
    <w:rsid w:val="006E5044"/>
    <w:rsid w:val="006F7354"/>
    <w:rsid w:val="00744D8E"/>
    <w:rsid w:val="0079456A"/>
    <w:rsid w:val="00794AC6"/>
    <w:rsid w:val="007A1A2E"/>
    <w:rsid w:val="007C1185"/>
    <w:rsid w:val="007D2457"/>
    <w:rsid w:val="00801EAB"/>
    <w:rsid w:val="0086200F"/>
    <w:rsid w:val="0087044E"/>
    <w:rsid w:val="00875BF2"/>
    <w:rsid w:val="008901F7"/>
    <w:rsid w:val="008D0D07"/>
    <w:rsid w:val="009002A0"/>
    <w:rsid w:val="00920A5B"/>
    <w:rsid w:val="009331E9"/>
    <w:rsid w:val="00967FEE"/>
    <w:rsid w:val="0098720D"/>
    <w:rsid w:val="009873BB"/>
    <w:rsid w:val="009A201B"/>
    <w:rsid w:val="009F58FE"/>
    <w:rsid w:val="009F5E8F"/>
    <w:rsid w:val="00A0270D"/>
    <w:rsid w:val="00A74F6E"/>
    <w:rsid w:val="00B1501C"/>
    <w:rsid w:val="00B30799"/>
    <w:rsid w:val="00B36D93"/>
    <w:rsid w:val="00B470FA"/>
    <w:rsid w:val="00BA2850"/>
    <w:rsid w:val="00BB19A2"/>
    <w:rsid w:val="00C04A40"/>
    <w:rsid w:val="00C407DD"/>
    <w:rsid w:val="00C54FDB"/>
    <w:rsid w:val="00C73678"/>
    <w:rsid w:val="00CB4812"/>
    <w:rsid w:val="00CB7586"/>
    <w:rsid w:val="00CF6EF1"/>
    <w:rsid w:val="00D04B54"/>
    <w:rsid w:val="00D47488"/>
    <w:rsid w:val="00D515AA"/>
    <w:rsid w:val="00D66360"/>
    <w:rsid w:val="00D95601"/>
    <w:rsid w:val="00DA2D99"/>
    <w:rsid w:val="00DA581C"/>
    <w:rsid w:val="00DF1FA3"/>
    <w:rsid w:val="00E57AEF"/>
    <w:rsid w:val="00E82A9C"/>
    <w:rsid w:val="00ED1601"/>
    <w:rsid w:val="00ED26A6"/>
    <w:rsid w:val="00EF65F8"/>
    <w:rsid w:val="00F036D3"/>
    <w:rsid w:val="00F13D3C"/>
    <w:rsid w:val="00F71E71"/>
    <w:rsid w:val="00FA6E5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5E5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13"/>
    <w:rPr>
      <w:rFonts w:ascii="Tahoma" w:hAnsi="Tahoma" w:cs="Tahoma"/>
      <w:sz w:val="16"/>
      <w:szCs w:val="16"/>
    </w:rPr>
  </w:style>
  <w:style w:type="paragraph" w:styleId="ListParagraph">
    <w:name w:val="List Paragraph"/>
    <w:basedOn w:val="Normal"/>
    <w:uiPriority w:val="72"/>
    <w:qFormat/>
    <w:rsid w:val="0003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5E5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8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Valley College</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Diamond</dc:creator>
  <cp:lastModifiedBy>Wayne</cp:lastModifiedBy>
  <cp:revision>2</cp:revision>
  <cp:lastPrinted>2012-10-23T03:37:00Z</cp:lastPrinted>
  <dcterms:created xsi:type="dcterms:W3CDTF">2013-03-04T03:16:00Z</dcterms:created>
  <dcterms:modified xsi:type="dcterms:W3CDTF">2013-03-04T03:16:00Z</dcterms:modified>
</cp:coreProperties>
</file>