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99" w:rsidRPr="00215989" w:rsidRDefault="00B4785E" w:rsidP="003423A0">
      <w:pPr>
        <w:spacing w:after="0" w:line="240" w:lineRule="auto"/>
        <w:rPr>
          <w:b/>
          <w:sz w:val="24"/>
          <w:szCs w:val="24"/>
        </w:rPr>
      </w:pPr>
      <w:r w:rsidRPr="00805A85">
        <w:rPr>
          <w:noProof/>
          <w:sz w:val="32"/>
          <w:szCs w:val="32"/>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57150</wp:posOffset>
            </wp:positionV>
            <wp:extent cx="942975" cy="923925"/>
            <wp:effectExtent l="19050" t="0" r="9525" b="0"/>
            <wp:wrapSquare wrapText="left"/>
            <wp:docPr id="2" name="Picture 2" descr="Academic_Sen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Senate_Logo"/>
                    <pic:cNvPicPr>
                      <a:picLocks noChangeAspect="1" noChangeArrowheads="1"/>
                    </pic:cNvPicPr>
                  </pic:nvPicPr>
                  <pic:blipFill>
                    <a:blip r:embed="rId5" cstate="print"/>
                    <a:srcRect/>
                    <a:stretch>
                      <a:fillRect/>
                    </a:stretch>
                  </pic:blipFill>
                  <pic:spPr bwMode="auto">
                    <a:xfrm>
                      <a:off x="0" y="0"/>
                      <a:ext cx="942975" cy="923925"/>
                    </a:xfrm>
                    <a:prstGeom prst="rect">
                      <a:avLst/>
                    </a:prstGeom>
                    <a:solidFill>
                      <a:srgbClr val="CCFFCC"/>
                    </a:solidFill>
                    <a:ln w="9525">
                      <a:noFill/>
                      <a:miter lim="800000"/>
                      <a:headEnd/>
                      <a:tailEnd/>
                    </a:ln>
                  </pic:spPr>
                </pic:pic>
              </a:graphicData>
            </a:graphic>
          </wp:anchor>
        </w:drawing>
      </w:r>
      <w:r w:rsidRPr="00805A85">
        <w:rPr>
          <w:sz w:val="32"/>
          <w:szCs w:val="32"/>
        </w:rPr>
        <w:t xml:space="preserve"> </w:t>
      </w:r>
      <w:r w:rsidRPr="00805A85">
        <w:rPr>
          <w:noProof/>
          <w:sz w:val="32"/>
          <w:szCs w:val="32"/>
        </w:rPr>
        <w:drawing>
          <wp:inline distT="0" distB="0" distL="0" distR="0">
            <wp:extent cx="942975" cy="10452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5772" cy="1048340"/>
                    </a:xfrm>
                    <a:prstGeom prst="rect">
                      <a:avLst/>
                    </a:prstGeom>
                    <a:noFill/>
                    <a:ln w="9525">
                      <a:noFill/>
                      <a:miter lim="800000"/>
                      <a:headEnd/>
                      <a:tailEnd/>
                    </a:ln>
                  </pic:spPr>
                </pic:pic>
              </a:graphicData>
            </a:graphic>
          </wp:inline>
        </w:drawing>
      </w:r>
      <w:r w:rsidR="002915CE">
        <w:rPr>
          <w:sz w:val="32"/>
          <w:szCs w:val="32"/>
        </w:rPr>
        <w:t xml:space="preserve">                 </w:t>
      </w:r>
      <w:r w:rsidR="004D1CF9" w:rsidRPr="004D1CF9">
        <w:rPr>
          <w:b/>
          <w:sz w:val="28"/>
          <w:szCs w:val="28"/>
        </w:rPr>
        <w:t xml:space="preserve">WVC </w:t>
      </w:r>
      <w:r w:rsidRPr="002915CE">
        <w:rPr>
          <w:b/>
          <w:sz w:val="24"/>
          <w:szCs w:val="24"/>
        </w:rPr>
        <w:t>CURRICULUM COMMITTE</w:t>
      </w:r>
      <w:r w:rsidR="001C3C99" w:rsidRPr="002915CE">
        <w:rPr>
          <w:b/>
          <w:sz w:val="24"/>
          <w:szCs w:val="24"/>
        </w:rPr>
        <w:t>E</w:t>
      </w:r>
    </w:p>
    <w:p w:rsidR="00E013CD" w:rsidRPr="00215989" w:rsidRDefault="006867AA" w:rsidP="003423A0">
      <w:pPr>
        <w:spacing w:after="0" w:line="240" w:lineRule="auto"/>
        <w:jc w:val="center"/>
        <w:rPr>
          <w:b/>
          <w:sz w:val="24"/>
          <w:szCs w:val="24"/>
        </w:rPr>
      </w:pPr>
      <w:r>
        <w:rPr>
          <w:b/>
          <w:sz w:val="24"/>
          <w:szCs w:val="24"/>
        </w:rPr>
        <w:t>Minutes</w:t>
      </w:r>
    </w:p>
    <w:p w:rsidR="00E013CD" w:rsidRPr="00215989" w:rsidRDefault="004E215D" w:rsidP="003423A0">
      <w:pPr>
        <w:spacing w:after="0" w:line="240" w:lineRule="auto"/>
        <w:jc w:val="center"/>
        <w:rPr>
          <w:b/>
          <w:sz w:val="24"/>
          <w:szCs w:val="24"/>
        </w:rPr>
      </w:pPr>
      <w:r>
        <w:rPr>
          <w:b/>
          <w:sz w:val="24"/>
          <w:szCs w:val="24"/>
        </w:rPr>
        <w:t>September 28</w:t>
      </w:r>
      <w:r w:rsidR="00E013CD" w:rsidRPr="00215989">
        <w:rPr>
          <w:b/>
          <w:sz w:val="24"/>
          <w:szCs w:val="24"/>
        </w:rPr>
        <w:t>, 2011</w:t>
      </w:r>
    </w:p>
    <w:p w:rsidR="00BA5A73" w:rsidRPr="00215989" w:rsidRDefault="00BA5A73" w:rsidP="003423A0">
      <w:pPr>
        <w:spacing w:after="0" w:line="240" w:lineRule="auto"/>
        <w:jc w:val="center"/>
        <w:rPr>
          <w:b/>
          <w:sz w:val="24"/>
          <w:szCs w:val="24"/>
        </w:rPr>
      </w:pPr>
      <w:r w:rsidRPr="00215989">
        <w:rPr>
          <w:b/>
          <w:sz w:val="24"/>
          <w:szCs w:val="24"/>
        </w:rPr>
        <w:t>2:30-4:30</w:t>
      </w:r>
    </w:p>
    <w:p w:rsidR="00A86FC0" w:rsidRDefault="00215989" w:rsidP="003423A0">
      <w:pPr>
        <w:spacing w:after="0" w:line="240" w:lineRule="auto"/>
        <w:jc w:val="center"/>
        <w:rPr>
          <w:b/>
          <w:sz w:val="24"/>
          <w:szCs w:val="24"/>
        </w:rPr>
      </w:pPr>
      <w:r w:rsidRPr="00215989">
        <w:rPr>
          <w:b/>
          <w:sz w:val="24"/>
          <w:szCs w:val="24"/>
        </w:rPr>
        <w:t>BUS 6</w:t>
      </w:r>
    </w:p>
    <w:p w:rsidR="00E013CD" w:rsidRPr="004D1CF9" w:rsidRDefault="001C3C99" w:rsidP="003423A0">
      <w:pPr>
        <w:spacing w:after="0"/>
        <w:rPr>
          <w:b/>
        </w:rPr>
      </w:pPr>
      <w:r w:rsidRPr="004D1CF9">
        <w:rPr>
          <w:b/>
        </w:rPr>
        <w:t xml:space="preserve">                       Membership</w:t>
      </w:r>
    </w:p>
    <w:tbl>
      <w:tblPr>
        <w:tblW w:w="0" w:type="auto"/>
        <w:tblLayout w:type="fixed"/>
        <w:tblLook w:val="0000"/>
      </w:tblPr>
      <w:tblGrid>
        <w:gridCol w:w="3708"/>
        <w:gridCol w:w="810"/>
      </w:tblGrid>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spacing w:before="100" w:beforeAutospacing="1" w:line="240" w:lineRule="auto"/>
              <w:jc w:val="both"/>
              <w:rPr>
                <w:sz w:val="20"/>
                <w:szCs w:val="20"/>
              </w:rPr>
            </w:pPr>
            <w:r w:rsidRPr="003423A0">
              <w:rPr>
                <w:sz w:val="20"/>
                <w:szCs w:val="20"/>
              </w:rPr>
              <w:t>LeAnn McGinley, Chair, Assessment</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spacing w:before="100" w:beforeAutospacing="1" w:line="240" w:lineRule="auto"/>
              <w:jc w:val="both"/>
              <w:rPr>
                <w:sz w:val="20"/>
                <w:szCs w:val="20"/>
              </w:rPr>
            </w:pPr>
          </w:p>
        </w:tc>
      </w:tr>
      <w:tr w:rsidR="00B30EE6" w:rsidRPr="004D1CF9" w:rsidTr="00B30EE6">
        <w:trPr>
          <w:cantSplit/>
          <w:trHeight w:val="377"/>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Leslie Hotta,  Applied Arts/Sciences</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Robert Anthony, Business</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Brad Weisberg, Fine Arts</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Paulette Boudreaux,  Language Arts</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Betsy Sandford,  Library</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Chris Dyer, Math/Science</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Patricia Louderback, PE</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Brian Tramontana, Social Science</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r w:rsidRPr="003423A0">
              <w:rPr>
                <w:sz w:val="20"/>
                <w:szCs w:val="20"/>
              </w:rPr>
              <w:t>Cheryl Miller,  Student Services</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E013CD">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jc w:val="both"/>
              <w:rPr>
                <w:sz w:val="20"/>
                <w:szCs w:val="20"/>
              </w:rPr>
            </w:pPr>
            <w:r w:rsidRPr="003423A0">
              <w:rPr>
                <w:sz w:val="20"/>
                <w:szCs w:val="20"/>
              </w:rPr>
              <w:t>Kuni Hay, VP Instruction</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jc w:val="both"/>
              <w:rPr>
                <w:sz w:val="20"/>
                <w:szCs w:val="20"/>
              </w:rPr>
            </w:pPr>
            <w:r>
              <w:rPr>
                <w:sz w:val="20"/>
                <w:szCs w:val="20"/>
              </w:rPr>
              <w:t>Absent</w:t>
            </w: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jc w:val="both"/>
              <w:rPr>
                <w:sz w:val="20"/>
                <w:szCs w:val="20"/>
              </w:rPr>
            </w:pPr>
            <w:r w:rsidRPr="003423A0">
              <w:rPr>
                <w:sz w:val="20"/>
                <w:szCs w:val="20"/>
              </w:rPr>
              <w:t xml:space="preserve">Herlisa Hamp, Admissions &amp; Records </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jc w:val="both"/>
              <w:rPr>
                <w:sz w:val="20"/>
                <w:szCs w:val="20"/>
              </w:rPr>
            </w:pPr>
            <w:r w:rsidRPr="003423A0">
              <w:rPr>
                <w:sz w:val="20"/>
                <w:szCs w:val="20"/>
              </w:rPr>
              <w:t>Michael Byers, Articulation</w:t>
            </w:r>
          </w:p>
        </w:tc>
        <w:tc>
          <w:tcPr>
            <w:tcW w:w="810"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jc w:val="both"/>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rPr>
                <w:sz w:val="20"/>
                <w:szCs w:val="20"/>
              </w:rPr>
            </w:pPr>
            <w:r>
              <w:rPr>
                <w:sz w:val="20"/>
                <w:szCs w:val="20"/>
              </w:rPr>
              <w:t>Thuy Tran, Office of instruction</w:t>
            </w:r>
          </w:p>
        </w:tc>
        <w:tc>
          <w:tcPr>
            <w:tcW w:w="810" w:type="dxa"/>
            <w:tcBorders>
              <w:top w:val="single" w:sz="6" w:space="0" w:color="auto"/>
              <w:left w:val="single" w:sz="12" w:space="0" w:color="auto"/>
              <w:bottom w:val="single" w:sz="6" w:space="0" w:color="auto"/>
              <w:right w:val="single" w:sz="6" w:space="0" w:color="auto"/>
            </w:tcBorders>
          </w:tcPr>
          <w:p w:rsidR="00B30EE6" w:rsidRDefault="00B30EE6" w:rsidP="00A3586E">
            <w:pPr>
              <w:tabs>
                <w:tab w:val="left" w:pos="630"/>
              </w:tabs>
              <w:spacing w:before="100" w:beforeAutospacing="1" w:line="240" w:lineRule="auto"/>
              <w:rPr>
                <w:sz w:val="20"/>
                <w:szCs w:val="20"/>
              </w:rPr>
            </w:pPr>
          </w:p>
        </w:tc>
      </w:tr>
      <w:tr w:rsidR="00B30EE6" w:rsidRPr="004D1CF9" w:rsidTr="00B30EE6">
        <w:trPr>
          <w:cantSplit/>
          <w:trHeight w:val="391"/>
        </w:trPr>
        <w:tc>
          <w:tcPr>
            <w:tcW w:w="3708" w:type="dxa"/>
            <w:tcBorders>
              <w:top w:val="single" w:sz="6" w:space="0" w:color="auto"/>
              <w:left w:val="single" w:sz="12" w:space="0" w:color="auto"/>
              <w:bottom w:val="single" w:sz="6" w:space="0" w:color="auto"/>
              <w:right w:val="single" w:sz="6" w:space="0" w:color="auto"/>
            </w:tcBorders>
          </w:tcPr>
          <w:p w:rsidR="00B30EE6" w:rsidRPr="003423A0" w:rsidRDefault="00B30EE6" w:rsidP="00A3586E">
            <w:pPr>
              <w:tabs>
                <w:tab w:val="left" w:pos="630"/>
              </w:tabs>
              <w:spacing w:before="100" w:beforeAutospacing="1" w:line="240" w:lineRule="auto"/>
              <w:rPr>
                <w:sz w:val="20"/>
                <w:szCs w:val="20"/>
              </w:rPr>
            </w:pPr>
            <w:r>
              <w:rPr>
                <w:sz w:val="20"/>
                <w:szCs w:val="20"/>
              </w:rPr>
              <w:t xml:space="preserve">Vacant, </w:t>
            </w:r>
            <w:r w:rsidRPr="003423A0">
              <w:rPr>
                <w:sz w:val="20"/>
                <w:szCs w:val="20"/>
              </w:rPr>
              <w:t>Student</w:t>
            </w:r>
            <w:r>
              <w:rPr>
                <w:sz w:val="20"/>
                <w:szCs w:val="20"/>
              </w:rPr>
              <w:t xml:space="preserve"> Representative </w:t>
            </w:r>
          </w:p>
        </w:tc>
        <w:tc>
          <w:tcPr>
            <w:tcW w:w="810" w:type="dxa"/>
            <w:tcBorders>
              <w:top w:val="single" w:sz="6" w:space="0" w:color="auto"/>
              <w:left w:val="single" w:sz="12" w:space="0" w:color="auto"/>
              <w:bottom w:val="single" w:sz="6" w:space="0" w:color="auto"/>
              <w:right w:val="single" w:sz="6" w:space="0" w:color="auto"/>
            </w:tcBorders>
          </w:tcPr>
          <w:p w:rsidR="00B30EE6" w:rsidRDefault="00B30EE6" w:rsidP="00A3586E">
            <w:pPr>
              <w:tabs>
                <w:tab w:val="left" w:pos="630"/>
              </w:tabs>
              <w:spacing w:before="100" w:beforeAutospacing="1" w:line="240" w:lineRule="auto"/>
              <w:rPr>
                <w:sz w:val="20"/>
                <w:szCs w:val="20"/>
              </w:rPr>
            </w:pPr>
            <w:r>
              <w:rPr>
                <w:sz w:val="20"/>
                <w:szCs w:val="20"/>
              </w:rPr>
              <w:t>Absent</w:t>
            </w:r>
          </w:p>
        </w:tc>
      </w:tr>
    </w:tbl>
    <w:p w:rsidR="003423A0" w:rsidRDefault="003423A0" w:rsidP="003423A0"/>
    <w:p w:rsidR="004D1CF9" w:rsidRPr="004D1CF9" w:rsidRDefault="004D1CF9" w:rsidP="00066DB5">
      <w:pPr>
        <w:pStyle w:val="ListParagraph"/>
        <w:numPr>
          <w:ilvl w:val="0"/>
          <w:numId w:val="1"/>
        </w:numPr>
      </w:pPr>
      <w:r w:rsidRPr="0012431F">
        <w:rPr>
          <w:b/>
        </w:rPr>
        <w:t>Roll Call and Call to Order</w:t>
      </w:r>
      <w:r w:rsidR="00B30EE6">
        <w:t>—LeAnn called the meeting to order at 2:40 pm.</w:t>
      </w:r>
    </w:p>
    <w:p w:rsidR="00215989" w:rsidRPr="004D1CF9" w:rsidRDefault="00D55D83" w:rsidP="00066DB5">
      <w:pPr>
        <w:pStyle w:val="ListParagraph"/>
        <w:numPr>
          <w:ilvl w:val="0"/>
          <w:numId w:val="1"/>
        </w:numPr>
      </w:pPr>
      <w:r w:rsidRPr="0012431F">
        <w:rPr>
          <w:b/>
        </w:rPr>
        <w:t>Approval of Order of Agenda</w:t>
      </w:r>
      <w:r w:rsidR="00B30EE6">
        <w:t>—</w:t>
      </w:r>
      <w:r w:rsidR="00251532">
        <w:t xml:space="preserve">Patricia/Brad/Passed </w:t>
      </w:r>
    </w:p>
    <w:p w:rsidR="00D55D83" w:rsidRDefault="00215989" w:rsidP="00066DB5">
      <w:pPr>
        <w:pStyle w:val="ListParagraph"/>
        <w:numPr>
          <w:ilvl w:val="0"/>
          <w:numId w:val="1"/>
        </w:numPr>
      </w:pPr>
      <w:r w:rsidRPr="0012431F">
        <w:rPr>
          <w:b/>
        </w:rPr>
        <w:t>Approval of Minutes</w:t>
      </w:r>
      <w:r w:rsidR="00805A85" w:rsidRPr="004D1CF9">
        <w:t xml:space="preserve"> </w:t>
      </w:r>
      <w:r w:rsidR="002915CE">
        <w:t xml:space="preserve">9/07, 9/14, </w:t>
      </w:r>
      <w:r w:rsidR="00332103">
        <w:t>09/21</w:t>
      </w:r>
      <w:r w:rsidRPr="004D1CF9">
        <w:t>/11</w:t>
      </w:r>
      <w:r w:rsidR="00B30EE6">
        <w:t>—delayed until next meeting. LeAnn will check to make sure she sent the minutes from 9/21.</w:t>
      </w:r>
    </w:p>
    <w:p w:rsidR="00332103" w:rsidRDefault="00332103" w:rsidP="00066DB5">
      <w:pPr>
        <w:pStyle w:val="ListParagraph"/>
        <w:numPr>
          <w:ilvl w:val="0"/>
          <w:numId w:val="1"/>
        </w:numPr>
      </w:pPr>
      <w:r w:rsidRPr="0012431F">
        <w:rPr>
          <w:b/>
        </w:rPr>
        <w:t>Stand-Alone</w:t>
      </w:r>
      <w:r w:rsidR="0012431F">
        <w:rPr>
          <w:b/>
        </w:rPr>
        <w:t xml:space="preserve"> Course</w:t>
      </w:r>
      <w:r w:rsidRPr="0012431F">
        <w:rPr>
          <w:b/>
        </w:rPr>
        <w:t xml:space="preserve"> Training</w:t>
      </w:r>
      <w:r w:rsidR="00251532">
        <w:t xml:space="preserve">—LeAnn conducted the required training on the Stand-Alone and general course approval. All slides from the official training were used and members have copies of the accompanying handouts. </w:t>
      </w:r>
      <w:r w:rsidR="00A73CA8">
        <w:t xml:space="preserve"> Within the context of the Approval Process slide in the training, LeAnn reviewed an update local timeline which now includes going to the Board on 12/6 /11 and 1/17/12. These are the only board meetings those months.</w:t>
      </w:r>
    </w:p>
    <w:p w:rsidR="00332103" w:rsidRPr="004D1CF9" w:rsidRDefault="00332103" w:rsidP="00066DB5">
      <w:pPr>
        <w:pStyle w:val="ListParagraph"/>
        <w:numPr>
          <w:ilvl w:val="0"/>
          <w:numId w:val="1"/>
        </w:numPr>
      </w:pPr>
      <w:r w:rsidRPr="0012431F">
        <w:rPr>
          <w:b/>
        </w:rPr>
        <w:t>Updates from Curriculum Workshop 9/16</w:t>
      </w:r>
      <w:r w:rsidR="00251532">
        <w:t xml:space="preserve">—LeAnn provided an overview of the draft recommendations of the Student Success Task Force of the State Academic Senate. She also explained the differences between course repetition and course repeatability. LeAnn stated </w:t>
      </w:r>
      <w:r w:rsidR="00251532">
        <w:lastRenderedPageBreak/>
        <w:t xml:space="preserve">that the current perspective is that repeatability as we know it will change, but the details are not yet decided at the state level. She also presented a few options for restructuring courses and for being mindful of course objectives and appropriate levels of proficiency for passing a course.  </w:t>
      </w:r>
    </w:p>
    <w:p w:rsidR="00E013CD" w:rsidRPr="004D1CF9" w:rsidRDefault="00E013CD" w:rsidP="00066DB5">
      <w:pPr>
        <w:pStyle w:val="ListParagraph"/>
        <w:numPr>
          <w:ilvl w:val="0"/>
          <w:numId w:val="1"/>
        </w:numPr>
      </w:pPr>
      <w:r w:rsidRPr="0012431F">
        <w:rPr>
          <w:b/>
        </w:rPr>
        <w:t>CurricUNET Updates</w:t>
      </w:r>
      <w:r w:rsidR="00251532">
        <w:t>—Cheryl explained that all promised changes are not yet in the test course. Bob expressed concern about using pending course in a new program. Leslie has used pending courses and she and Bob will work together on this issue. Drop down menu for rationale and CC outline do not work.  New approval queue anticipated for Spring 12.</w:t>
      </w:r>
    </w:p>
    <w:p w:rsidR="005F4092" w:rsidRPr="004D1CF9" w:rsidRDefault="005F4092" w:rsidP="00066DB5">
      <w:pPr>
        <w:pStyle w:val="ListParagraph"/>
        <w:numPr>
          <w:ilvl w:val="0"/>
          <w:numId w:val="1"/>
        </w:numPr>
      </w:pPr>
      <w:r w:rsidRPr="0012431F">
        <w:rPr>
          <w:b/>
        </w:rPr>
        <w:t>Course Deactivations/ Actions</w:t>
      </w:r>
      <w:r w:rsidR="00251532">
        <w:t xml:space="preserve">—none </w:t>
      </w:r>
    </w:p>
    <w:p w:rsidR="00E013CD" w:rsidRPr="0012431F" w:rsidRDefault="00E013CD" w:rsidP="00066DB5">
      <w:pPr>
        <w:pStyle w:val="ListParagraph"/>
        <w:numPr>
          <w:ilvl w:val="0"/>
          <w:numId w:val="1"/>
        </w:numPr>
        <w:rPr>
          <w:b/>
        </w:rPr>
      </w:pPr>
      <w:r w:rsidRPr="0012431F">
        <w:rPr>
          <w:b/>
        </w:rPr>
        <w:t>Technical  Review</w:t>
      </w:r>
      <w:r w:rsidR="00215989" w:rsidRPr="0012431F">
        <w:rPr>
          <w:b/>
        </w:rPr>
        <w:t xml:space="preserve"> </w:t>
      </w:r>
      <w:r w:rsidR="005F4092" w:rsidRPr="0012431F">
        <w:rPr>
          <w:b/>
        </w:rPr>
        <w:t>/</w:t>
      </w:r>
      <w:r w:rsidRPr="0012431F">
        <w:rPr>
          <w:b/>
        </w:rPr>
        <w:t xml:space="preserve"> Actions</w:t>
      </w:r>
    </w:p>
    <w:p w:rsidR="00251532" w:rsidRDefault="00A73CA8" w:rsidP="00B64CBD">
      <w:pPr>
        <w:pStyle w:val="ListParagraph"/>
        <w:tabs>
          <w:tab w:val="left" w:pos="450"/>
          <w:tab w:val="left" w:pos="1260"/>
          <w:tab w:val="decimal" w:pos="2430"/>
          <w:tab w:val="left" w:pos="2880"/>
          <w:tab w:val="left" w:pos="9620"/>
        </w:tabs>
        <w:spacing w:after="0"/>
        <w:ind w:left="1080" w:right="75"/>
        <w:rPr>
          <w:rFonts w:ascii="Times New Roman" w:hAnsi="Times New Roman"/>
          <w:sz w:val="20"/>
        </w:rPr>
      </w:pPr>
      <w:r w:rsidRPr="00B64CBD">
        <w:rPr>
          <w:rFonts w:ascii="Times New Roman" w:hAnsi="Times New Roman"/>
          <w:b/>
          <w:sz w:val="20"/>
        </w:rPr>
        <w:t>Psych 2H</w:t>
      </w:r>
      <w:r>
        <w:rPr>
          <w:rFonts w:ascii="Times New Roman" w:hAnsi="Times New Roman"/>
          <w:sz w:val="20"/>
        </w:rPr>
        <w:t xml:space="preserve">—Jose Buatista did not review last Spring. Brian will follow up. There were questions about missing honors and non-honors students in same class, level of English as recommended prep, and content review for the pre-reqs. </w:t>
      </w:r>
    </w:p>
    <w:p w:rsidR="00A73CA8" w:rsidRDefault="00A73CA8" w:rsidP="00A73CA8">
      <w:pPr>
        <w:tabs>
          <w:tab w:val="left" w:pos="450"/>
          <w:tab w:val="left" w:pos="1260"/>
          <w:tab w:val="decimal" w:pos="2430"/>
          <w:tab w:val="left" w:pos="2880"/>
          <w:tab w:val="left" w:pos="9620"/>
        </w:tabs>
        <w:spacing w:after="0"/>
        <w:ind w:left="360" w:right="75"/>
        <w:rPr>
          <w:rFonts w:ascii="Times New Roman" w:hAnsi="Times New Roman"/>
          <w:sz w:val="20"/>
        </w:rPr>
      </w:pPr>
      <w:r>
        <w:rPr>
          <w:rFonts w:ascii="Times New Roman" w:hAnsi="Times New Roman"/>
          <w:sz w:val="20"/>
        </w:rPr>
        <w:tab/>
        <w:t xml:space="preserve">            </w:t>
      </w:r>
      <w:r w:rsidRPr="00B64CBD">
        <w:rPr>
          <w:rFonts w:ascii="Times New Roman" w:hAnsi="Times New Roman"/>
          <w:b/>
          <w:sz w:val="20"/>
        </w:rPr>
        <w:t>Math Basic Skills</w:t>
      </w:r>
      <w:r>
        <w:rPr>
          <w:rFonts w:ascii="Times New Roman" w:hAnsi="Times New Roman"/>
          <w:sz w:val="20"/>
        </w:rPr>
        <w:t xml:space="preserve">  courses—question as to whether level 1 Reading and English are appropriate or no  </w:t>
      </w:r>
    </w:p>
    <w:p w:rsidR="00A73CA8" w:rsidRDefault="00A73CA8" w:rsidP="00A73CA8">
      <w:pPr>
        <w:tabs>
          <w:tab w:val="left" w:pos="450"/>
          <w:tab w:val="left" w:pos="1260"/>
          <w:tab w:val="decimal" w:pos="2430"/>
          <w:tab w:val="left" w:pos="2880"/>
          <w:tab w:val="left" w:pos="9620"/>
        </w:tabs>
        <w:spacing w:after="0"/>
        <w:ind w:left="360" w:right="75"/>
        <w:rPr>
          <w:rFonts w:ascii="Times New Roman" w:hAnsi="Times New Roman"/>
          <w:sz w:val="20"/>
        </w:rPr>
      </w:pPr>
      <w:r>
        <w:rPr>
          <w:rFonts w:ascii="Times New Roman" w:hAnsi="Times New Roman"/>
          <w:sz w:val="20"/>
        </w:rPr>
        <w:t xml:space="preserve">              recommended level of preparation.</w:t>
      </w:r>
    </w:p>
    <w:p w:rsidR="00B64CBD" w:rsidRDefault="00B64CBD" w:rsidP="00B64CBD">
      <w:pPr>
        <w:tabs>
          <w:tab w:val="left" w:pos="450"/>
          <w:tab w:val="left" w:pos="1260"/>
          <w:tab w:val="decimal" w:pos="2430"/>
          <w:tab w:val="left" w:pos="2880"/>
          <w:tab w:val="left" w:pos="9620"/>
        </w:tabs>
        <w:spacing w:after="0"/>
        <w:ind w:left="360" w:right="75"/>
        <w:rPr>
          <w:rFonts w:ascii="Times New Roman" w:hAnsi="Times New Roman"/>
          <w:sz w:val="20"/>
        </w:rPr>
      </w:pPr>
      <w:r>
        <w:rPr>
          <w:rFonts w:ascii="Times New Roman" w:hAnsi="Times New Roman"/>
          <w:b/>
          <w:sz w:val="20"/>
        </w:rPr>
        <w:t xml:space="preserve">             </w:t>
      </w:r>
      <w:r w:rsidRPr="00B64CBD">
        <w:rPr>
          <w:rFonts w:ascii="Times New Roman" w:hAnsi="Times New Roman"/>
          <w:b/>
          <w:sz w:val="20"/>
        </w:rPr>
        <w:t>Theatre</w:t>
      </w:r>
      <w:r>
        <w:rPr>
          <w:rFonts w:ascii="Times New Roman" w:hAnsi="Times New Roman"/>
          <w:b/>
          <w:sz w:val="20"/>
        </w:rPr>
        <w:t xml:space="preserve"> 11A, B, C, 12</w:t>
      </w:r>
      <w:r w:rsidRPr="00B64CBD">
        <w:rPr>
          <w:rFonts w:ascii="Times New Roman" w:hAnsi="Times New Roman"/>
          <w:sz w:val="20"/>
        </w:rPr>
        <w:t xml:space="preserve"> deferred  </w:t>
      </w:r>
      <w:r>
        <w:rPr>
          <w:rFonts w:ascii="Times New Roman" w:hAnsi="Times New Roman"/>
          <w:sz w:val="20"/>
        </w:rPr>
        <w:t>approval –waiting for English department response</w:t>
      </w:r>
    </w:p>
    <w:p w:rsidR="00B64CBD" w:rsidRDefault="00B64CBD" w:rsidP="00B64CBD">
      <w:pPr>
        <w:tabs>
          <w:tab w:val="left" w:pos="450"/>
          <w:tab w:val="left" w:pos="1260"/>
          <w:tab w:val="decimal" w:pos="2430"/>
          <w:tab w:val="left" w:pos="2880"/>
          <w:tab w:val="left" w:pos="9620"/>
        </w:tabs>
        <w:spacing w:after="0"/>
        <w:ind w:left="360" w:right="75"/>
        <w:rPr>
          <w:rFonts w:ascii="Times New Roman" w:hAnsi="Times New Roman"/>
          <w:sz w:val="20"/>
        </w:rPr>
      </w:pPr>
      <w:r>
        <w:rPr>
          <w:rFonts w:ascii="Times New Roman" w:hAnsi="Times New Roman"/>
          <w:sz w:val="20"/>
        </w:rPr>
        <w:t xml:space="preserve">             </w:t>
      </w:r>
    </w:p>
    <w:p w:rsidR="0012431F" w:rsidRDefault="00B64CBD" w:rsidP="00A73CA8">
      <w:pPr>
        <w:tabs>
          <w:tab w:val="left" w:pos="450"/>
          <w:tab w:val="left" w:pos="1260"/>
          <w:tab w:val="decimal" w:pos="2430"/>
          <w:tab w:val="left" w:pos="2880"/>
          <w:tab w:val="left" w:pos="9620"/>
        </w:tabs>
        <w:spacing w:after="0"/>
        <w:ind w:left="360" w:right="75"/>
        <w:rPr>
          <w:rFonts w:ascii="Times New Roman" w:hAnsi="Times New Roman"/>
          <w:b/>
          <w:sz w:val="20"/>
        </w:rPr>
      </w:pPr>
      <w:r w:rsidRPr="0012431F">
        <w:rPr>
          <w:rFonts w:ascii="Times New Roman" w:hAnsi="Times New Roman"/>
          <w:b/>
          <w:sz w:val="20"/>
        </w:rPr>
        <w:t xml:space="preserve"> Meeting </w:t>
      </w:r>
      <w:r w:rsidR="0012431F">
        <w:rPr>
          <w:rFonts w:ascii="Times New Roman" w:hAnsi="Times New Roman"/>
          <w:b/>
          <w:sz w:val="20"/>
        </w:rPr>
        <w:t>a</w:t>
      </w:r>
      <w:r w:rsidRPr="0012431F">
        <w:rPr>
          <w:rFonts w:ascii="Times New Roman" w:hAnsi="Times New Roman"/>
          <w:b/>
          <w:sz w:val="20"/>
        </w:rPr>
        <w:t xml:space="preserve">djourned at 4:35pm. </w:t>
      </w:r>
    </w:p>
    <w:p w:rsidR="00B64CBD" w:rsidRPr="0012431F" w:rsidRDefault="00B64CBD" w:rsidP="00A73CA8">
      <w:pPr>
        <w:tabs>
          <w:tab w:val="left" w:pos="450"/>
          <w:tab w:val="left" w:pos="1260"/>
          <w:tab w:val="decimal" w:pos="2430"/>
          <w:tab w:val="left" w:pos="2880"/>
          <w:tab w:val="left" w:pos="9620"/>
        </w:tabs>
        <w:spacing w:after="0"/>
        <w:ind w:left="360" w:right="75"/>
        <w:rPr>
          <w:rFonts w:ascii="Times New Roman" w:hAnsi="Times New Roman"/>
          <w:b/>
          <w:sz w:val="20"/>
        </w:rPr>
      </w:pPr>
      <w:r w:rsidRPr="0012431F">
        <w:rPr>
          <w:rFonts w:ascii="Times New Roman" w:hAnsi="Times New Roman"/>
          <w:b/>
          <w:sz w:val="20"/>
        </w:rPr>
        <w:t>Next meeting 10/5 2:30pm Bus 6.</w:t>
      </w:r>
    </w:p>
    <w:p w:rsidR="00A73CA8" w:rsidRPr="0012431F" w:rsidRDefault="00A73CA8" w:rsidP="00251532">
      <w:pPr>
        <w:pStyle w:val="ListParagraph"/>
        <w:tabs>
          <w:tab w:val="left" w:pos="450"/>
          <w:tab w:val="left" w:pos="1260"/>
          <w:tab w:val="decimal" w:pos="2430"/>
          <w:tab w:val="left" w:pos="2880"/>
          <w:tab w:val="left" w:pos="9620"/>
        </w:tabs>
        <w:ind w:left="1080" w:right="75"/>
        <w:rPr>
          <w:rFonts w:ascii="Times New Roman" w:hAnsi="Times New Roman"/>
          <w:b/>
          <w:sz w:val="20"/>
        </w:rPr>
      </w:pPr>
    </w:p>
    <w:p w:rsidR="00251532" w:rsidRPr="004D1CF9" w:rsidRDefault="00251532" w:rsidP="00B64CBD">
      <w:pPr>
        <w:pStyle w:val="ListParagraph"/>
        <w:ind w:left="1080"/>
      </w:pPr>
    </w:p>
    <w:p w:rsidR="00221862" w:rsidRPr="004D1CF9" w:rsidRDefault="00221862" w:rsidP="004D1CF9">
      <w:pPr>
        <w:tabs>
          <w:tab w:val="left" w:pos="450"/>
          <w:tab w:val="left" w:pos="1260"/>
          <w:tab w:val="decimal" w:pos="2430"/>
          <w:tab w:val="left" w:pos="2880"/>
          <w:tab w:val="left" w:pos="9620"/>
        </w:tabs>
        <w:ind w:left="360" w:right="75"/>
        <w:rPr>
          <w:rFonts w:ascii="Times New Roman" w:hAnsi="Times New Roman"/>
          <w:sz w:val="20"/>
        </w:rPr>
      </w:pPr>
    </w:p>
    <w:sectPr w:rsidR="00221862" w:rsidRPr="004D1CF9" w:rsidSect="000C3D1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02453"/>
    <w:multiLevelType w:val="hybridMultilevel"/>
    <w:tmpl w:val="66FA177C"/>
    <w:lvl w:ilvl="0" w:tplc="86342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drawingGridHorizontalSpacing w:val="110"/>
  <w:displayHorizontalDrawingGridEvery w:val="2"/>
  <w:characterSpacingControl w:val="doNotCompress"/>
  <w:compat/>
  <w:rsids>
    <w:rsidRoot w:val="00B4785E"/>
    <w:rsid w:val="00066DB5"/>
    <w:rsid w:val="000C3D11"/>
    <w:rsid w:val="0012431F"/>
    <w:rsid w:val="001C3C99"/>
    <w:rsid w:val="00215989"/>
    <w:rsid w:val="00221862"/>
    <w:rsid w:val="00251532"/>
    <w:rsid w:val="002915CE"/>
    <w:rsid w:val="002E5CD0"/>
    <w:rsid w:val="00332103"/>
    <w:rsid w:val="003423A0"/>
    <w:rsid w:val="00367F42"/>
    <w:rsid w:val="003B68D9"/>
    <w:rsid w:val="003E5DC0"/>
    <w:rsid w:val="004A2FCC"/>
    <w:rsid w:val="004D1CF9"/>
    <w:rsid w:val="004D40A0"/>
    <w:rsid w:val="004E215D"/>
    <w:rsid w:val="00554308"/>
    <w:rsid w:val="005858E4"/>
    <w:rsid w:val="00597D5C"/>
    <w:rsid w:val="005F4092"/>
    <w:rsid w:val="00617BCD"/>
    <w:rsid w:val="00644F9D"/>
    <w:rsid w:val="006867AA"/>
    <w:rsid w:val="006C6A6C"/>
    <w:rsid w:val="006D1C6F"/>
    <w:rsid w:val="006F5458"/>
    <w:rsid w:val="007442A4"/>
    <w:rsid w:val="008010E8"/>
    <w:rsid w:val="00805A85"/>
    <w:rsid w:val="008606D1"/>
    <w:rsid w:val="008F094A"/>
    <w:rsid w:val="00953AA5"/>
    <w:rsid w:val="009D66D4"/>
    <w:rsid w:val="00A3586E"/>
    <w:rsid w:val="00A64131"/>
    <w:rsid w:val="00A73CA8"/>
    <w:rsid w:val="00A86FC0"/>
    <w:rsid w:val="00AD322D"/>
    <w:rsid w:val="00B30EE6"/>
    <w:rsid w:val="00B3145D"/>
    <w:rsid w:val="00B4785E"/>
    <w:rsid w:val="00B64CBD"/>
    <w:rsid w:val="00B96E85"/>
    <w:rsid w:val="00BA5A73"/>
    <w:rsid w:val="00BF6CBC"/>
    <w:rsid w:val="00C704D0"/>
    <w:rsid w:val="00CB3CB4"/>
    <w:rsid w:val="00D55D83"/>
    <w:rsid w:val="00E013CD"/>
    <w:rsid w:val="00E72D3E"/>
    <w:rsid w:val="00EB4112"/>
    <w:rsid w:val="00F7364E"/>
    <w:rsid w:val="00FD5682"/>
    <w:rsid w:val="00FE6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5E"/>
    <w:rPr>
      <w:rFonts w:ascii="Tahoma" w:hAnsi="Tahoma" w:cs="Tahoma"/>
      <w:sz w:val="16"/>
      <w:szCs w:val="16"/>
    </w:rPr>
  </w:style>
  <w:style w:type="paragraph" w:styleId="ListParagraph">
    <w:name w:val="List Paragraph"/>
    <w:basedOn w:val="Normal"/>
    <w:uiPriority w:val="34"/>
    <w:qFormat/>
    <w:rsid w:val="00E01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1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wvmccd</dc:creator>
  <cp:keywords/>
  <dc:description/>
  <cp:lastModifiedBy>wvmccd</cp:lastModifiedBy>
  <cp:revision>3</cp:revision>
  <dcterms:created xsi:type="dcterms:W3CDTF">2011-09-30T19:32:00Z</dcterms:created>
  <dcterms:modified xsi:type="dcterms:W3CDTF">2011-10-13T17:01:00Z</dcterms:modified>
</cp:coreProperties>
</file>